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FCMLC Board Meeting Special Session June 24, 2025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Board members present: John Guldemann, Dave Kerr, Lan Stong, Josh Switzer, Catalina Diaz, Michelle Pittsenbarger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Staff Present: Karin Bradshaw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Vendors present: Keri Guldemann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Guldemann: Called meeting to order at 5:59pm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Guldemann: Read conflict interest inquiry and privilege of the floor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Guldemann: Called for approval of agenda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Stong: Move to approve agenda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Kerr: Second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Guldemann: All approve. Aye. Motion Passes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Guldemann: Membership vote on Bylaw revisions #1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Keri Guldemann: Aye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Guldemann: Approve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Guldemann:Membership Vote to approve Bylaw revisions #2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Keri Guldemann: Aye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Guldemann: Is there a Motion to approve Bylaw Revisions by board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Pittsenbarger: Motion to approve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Stong: Second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Guldemann All Approve Aye Motion passes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Guldemann: called for motion to adjourn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Diaz: Move to adjourn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Pittsenbarger: second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Guldemann: all approve aye meeting adjourned at 6:06 pm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