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FCMLC Board Meeting June 24, 2024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Board members present: John Guldemann, Dave Kerr, Lan Stong, Josh Switzer, Catalina Diaz, Michelle Pittsenbarger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Staff Present: Karin Bradshaw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Vendors present: Keri Guldemann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Guldemann:Called meeting to order at 6:06pm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Guldemann: Read conflict interest inquiry and privilege of the floor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Guldemann: Called for approval of agenda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Stong: Move to approve agenda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Pittsenbarger: second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Guldemann: all approve. Aye. motion passes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Guldemann Called for approval of previous minutes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Kerr: motion to approve the minutes from May 20, 2025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Pitsenbarger: Second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Guldemann: all approve. Aye. motion passes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Guldemann: Committee reports. Operations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Bradshaw: New Year’s Eve Wednesday market is canceled due to Chile Drop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Pittsenbarger: Finances, nothing to report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Bradshaw: Marketing NMDA logo use approval as well as “taste the tradition”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Advertising partnership with NM tourism department and NM True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Bradshaw: Product Integrity voted for a new Chairman, Kerry Carmona. Also discussed and clarified some requirements which will be added to the P&amp;Ps.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Guldemann: No old business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Guldemann: New business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Bradshaw: DACC inquiry into fundraising at the market, as long as they comply with our current policies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Guldemann: No comments from board members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Guldemann: any comments from vendors?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Kerr: Thanks Bradshaw for all her hard work and report record high sales day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Guldemann: next board meeting will be July 15, 2025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Guldemann: called for motion to adjourn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Pittsenbarger: Motion to adjourn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Stong: Second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Guldemann: all approve. Aye. Motion passes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Meeting adjourned at 6:35pm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