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FCMLC Board Meeting September 16,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 present: John Guldemann, Dave Kerr, Josh Switzer, Catalina Diaz, Michelle Pittsenbarger, Lan Stong, Anthony Thomas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Staff Present: Karin Bradshaw, Amanda Buono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Guldemann:Called meeting to order at 6:01pm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Guldemann: Read conflict interest inquiry and privilege of the floor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Guldemann: Amendment to agenda: Banquet dinner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Guldemann: Called for approval of amendment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Kerr: Move to approve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Pitsenbarger: second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Guldemann: called for approval of agenda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Stong: Move to approve agenda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Pitsenbarger: Second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Guldemann Called for approval of previous minutes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Kerr: motion to approve the minutes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Diaz: Second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Guldemann: Committee reports. Operations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Bradshaw: 1) Dash Cam/Body Cam now being used during barrier placement/removal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October donation run for Action Animal Program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2)Guldemann: Financial status strong on budget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Guldemann: No old business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Guldemann: New business, need volunteer for election committee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Switzer: I volunteer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Guldemann: Motion to approve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Pitsenbarger: Move to approve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Stong: Second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Guldemann: Motion to approve renewal of certified folder contract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Pittsenbarger: Motion to approve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Diaz: Second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Guldemann: Motion to approve rack card printing contract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Pittsenbarger: Motion to approve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Stong: Second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Guldemann: Item #4, Motion to approve the 2025 Annual Banquet Dinner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Pitsenbarger: Motion to approve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Switzer: Second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Guldemann: Any comments from board members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Kerr: Invite city councilors to banquet?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Guldemann: any comments from vendors?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Guldemann: next board meeting will be October 21, 2025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Guldemann: called for motion to adjourn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Switzerr: Motion to adjourn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Pitsenbarger: Second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Guldemann: all approve. Aye. Motion passes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Meeting adjourned at 6:45pm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