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FCMLC Board Meeting July 15,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 present: John Guldemann, Dave Kerr, Josh Switzer, Catalina Diaz, Michelle Pittsenbarger, Lan Stong(Zoom)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Staff Present: Karin Bradshaw, Amanda Buono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Guldemann:Called meeting to order at 6:04pm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Guldemann: Read conflict interest inquiry and privilege of the floor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Guldemann: Amendment to agenda: item 4 Burrell Fall Fest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Guldemann: Called for approval of 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Pitsenbarger: Move to approve agenda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Kerr: second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Guldemann Called for approval of previous minutes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Pitsenbarger: motion to approve the minutes from May 20, 2025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Kerr: Second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Guldemann: Committee reports. Operations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Bradshaw: City Council presentation August 11, 2025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American Farmers Market Voting begins August 1, 2025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Disposing of old gift certificates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Getting rid of hand sanitizer dispensers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Pittsenbarger: Finances, nothing to report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Guldemann: No old business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Guldemann: New business, Called for Motion to approve the P&amp;P revisions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Switzer: Motion to approve revisions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Pittsenberger: Second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Guldemann: Called for approval of NM Adventure Guide advertising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Pittsenbarger: Motion to approve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Switzer: Second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Guldemann: Called for motion to approve late fee increase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Pittsenbarger: Motion to approve increase in late fees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Kerr: Second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Guldemann: Item #4, Burrell Fall Fest Sponsorship died in Discussion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Guldemann: No comments from board members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Guldemann: any comments from vendors?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Guldemann: next board meeting will be August 19, 2025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Guldemann: called for motion to adjourn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Pittsenbarger: Motion to adjourn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Switzer: Second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Guldemann: all approve. Aye. Motion passes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Meeting adjourned at 6:23pm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